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CE104" w14:textId="671B2525" w:rsidR="00853B79" w:rsidRPr="00853B79" w:rsidRDefault="00853B79" w:rsidP="00853B79">
      <w:pPr>
        <w:shd w:val="clear" w:color="auto" w:fill="FCFCFC"/>
        <w:jc w:val="center"/>
        <w:textAlignment w:val="center"/>
        <w:rPr>
          <w:rFonts w:ascii="Arial" w:hAnsi="Arial" w:cs="Arial"/>
          <w:b/>
          <w:bCs/>
          <w:color w:val="363636"/>
          <w:sz w:val="24"/>
        </w:rPr>
      </w:pPr>
      <w:r w:rsidRPr="00853B79">
        <w:rPr>
          <w:rFonts w:ascii="Arial" w:hAnsi="Arial" w:cs="Arial"/>
          <w:b/>
          <w:bCs/>
          <w:noProof/>
          <w:color w:val="363636"/>
          <w:sz w:val="24"/>
        </w:rPr>
        <w:drawing>
          <wp:inline distT="0" distB="0" distL="0" distR="0" wp14:anchorId="2C56E787" wp14:editId="379EEDF2">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C51080F" w14:textId="77777777" w:rsidR="00853B79" w:rsidRPr="00853B79" w:rsidRDefault="00853B79" w:rsidP="00853B79">
      <w:pPr>
        <w:shd w:val="clear" w:color="auto" w:fill="FCFCFC"/>
        <w:jc w:val="center"/>
        <w:rPr>
          <w:rFonts w:ascii="Arial" w:hAnsi="Arial" w:cs="Arial"/>
          <w:color w:val="363636"/>
          <w:sz w:val="24"/>
        </w:rPr>
      </w:pPr>
      <w:r w:rsidRPr="00853B79">
        <w:rPr>
          <w:rFonts w:ascii="Arial" w:hAnsi="Arial" w:cs="Arial"/>
          <w:b/>
          <w:bCs/>
          <w:color w:val="363636"/>
          <w:sz w:val="24"/>
        </w:rPr>
        <w:t> </w:t>
      </w:r>
      <w:r w:rsidRPr="00853B79">
        <w:rPr>
          <w:rFonts w:ascii="Arial" w:hAnsi="Arial" w:cs="Arial"/>
          <w:b/>
          <w:bCs/>
          <w:color w:val="363636"/>
          <w:sz w:val="24"/>
        </w:rPr>
        <w:br/>
      </w:r>
      <w:r w:rsidRPr="00853B79">
        <w:rPr>
          <w:rFonts w:ascii="Arial" w:hAnsi="Arial" w:cs="Arial"/>
          <w:b/>
          <w:bCs/>
          <w:caps/>
          <w:color w:val="363636"/>
          <w:sz w:val="24"/>
        </w:rPr>
        <w:t>кваліфікаційно-дисциплінарна комісія прокурорів</w:t>
      </w:r>
    </w:p>
    <w:p w14:paraId="3BAEE45E" w14:textId="77777777" w:rsidR="00853B79" w:rsidRPr="00853B79" w:rsidRDefault="00853B79" w:rsidP="00853B79">
      <w:pPr>
        <w:jc w:val="left"/>
        <w:rPr>
          <w:sz w:val="24"/>
        </w:rPr>
      </w:pPr>
    </w:p>
    <w:p w14:paraId="3F7BB77A" w14:textId="77777777" w:rsidR="00853B79" w:rsidRPr="00853B79" w:rsidRDefault="00853B79" w:rsidP="00853B79">
      <w:pPr>
        <w:shd w:val="clear" w:color="auto" w:fill="FCFCFC"/>
        <w:jc w:val="center"/>
        <w:rPr>
          <w:rFonts w:ascii="Arial" w:hAnsi="Arial" w:cs="Arial"/>
          <w:color w:val="363636"/>
          <w:sz w:val="24"/>
        </w:rPr>
      </w:pPr>
      <w:r w:rsidRPr="00853B79">
        <w:rPr>
          <w:rFonts w:ascii="Arial" w:hAnsi="Arial" w:cs="Arial"/>
          <w:b/>
          <w:bCs/>
          <w:color w:val="363636"/>
          <w:sz w:val="24"/>
        </w:rPr>
        <w:t>РІШЕННЯ</w:t>
      </w:r>
      <w:r w:rsidRPr="00853B79">
        <w:rPr>
          <w:rFonts w:ascii="Arial" w:hAnsi="Arial" w:cs="Arial"/>
          <w:b/>
          <w:bCs/>
          <w:color w:val="363636"/>
          <w:sz w:val="24"/>
        </w:rPr>
        <w:br/>
        <w:t>№318дк-26</w:t>
      </w:r>
    </w:p>
    <w:p w14:paraId="083A882F" w14:textId="77777777" w:rsidR="00853B79" w:rsidRPr="00853B79" w:rsidRDefault="00853B79" w:rsidP="00853B79">
      <w:pPr>
        <w:shd w:val="clear" w:color="auto" w:fill="FCFCFC"/>
        <w:spacing w:beforeAutospacing="1" w:afterAutospacing="1"/>
        <w:jc w:val="left"/>
        <w:rPr>
          <w:rFonts w:ascii="Arial" w:hAnsi="Arial" w:cs="Arial"/>
          <w:color w:val="363636"/>
          <w:sz w:val="24"/>
        </w:rPr>
      </w:pPr>
      <w:r w:rsidRPr="00853B79">
        <w:rPr>
          <w:rFonts w:ascii="Arial" w:hAnsi="Arial" w:cs="Arial"/>
          <w:b/>
          <w:bCs/>
          <w:color w:val="363636"/>
          <w:sz w:val="24"/>
        </w:rPr>
        <w:t>15 квітня 2026</w:t>
      </w:r>
    </w:p>
    <w:p w14:paraId="488723C7" w14:textId="77777777" w:rsidR="00853B79" w:rsidRPr="00853B79" w:rsidRDefault="00853B79" w:rsidP="00853B79">
      <w:pPr>
        <w:shd w:val="clear" w:color="auto" w:fill="FCFCFC"/>
        <w:spacing w:beforeAutospacing="1" w:afterAutospacing="1"/>
        <w:jc w:val="left"/>
        <w:rPr>
          <w:rFonts w:ascii="Arial" w:hAnsi="Arial" w:cs="Arial"/>
          <w:color w:val="363636"/>
          <w:sz w:val="24"/>
        </w:rPr>
      </w:pPr>
      <w:r w:rsidRPr="00853B79">
        <w:rPr>
          <w:rFonts w:ascii="Arial" w:hAnsi="Arial" w:cs="Arial"/>
          <w:b/>
          <w:bCs/>
          <w:color w:val="363636"/>
          <w:sz w:val="24"/>
        </w:rPr>
        <w:t>Київ</w:t>
      </w:r>
    </w:p>
    <w:p w14:paraId="037465AF" w14:textId="77777777" w:rsidR="00853B79" w:rsidRPr="00853B79" w:rsidRDefault="00853B79" w:rsidP="00853B79">
      <w:pPr>
        <w:shd w:val="clear" w:color="auto" w:fill="FCFCFC"/>
        <w:spacing w:beforeAutospacing="1" w:afterAutospacing="1"/>
        <w:jc w:val="left"/>
        <w:rPr>
          <w:rFonts w:ascii="Arial" w:hAnsi="Arial" w:cs="Arial"/>
          <w:color w:val="363636"/>
          <w:sz w:val="24"/>
        </w:rPr>
      </w:pPr>
      <w:r w:rsidRPr="00853B79">
        <w:rPr>
          <w:rFonts w:ascii="Arial" w:hAnsi="Arial" w:cs="Arial"/>
          <w:b/>
          <w:bCs/>
          <w:color w:val="363636"/>
          <w:sz w:val="24"/>
        </w:rPr>
        <w:t>Про виконання рішення суду</w:t>
      </w:r>
    </w:p>
    <w:p w14:paraId="236D9CA1" w14:textId="77777777" w:rsidR="00853B79" w:rsidRPr="00853B79" w:rsidRDefault="00853B79" w:rsidP="00853B79">
      <w:pPr>
        <w:jc w:val="left"/>
        <w:rPr>
          <w:sz w:val="24"/>
        </w:rPr>
      </w:pPr>
    </w:p>
    <w:p w14:paraId="3F1E8CDA" w14:textId="77777777" w:rsidR="00853B79" w:rsidRPr="00853B79" w:rsidRDefault="00853B79" w:rsidP="00853B79">
      <w:pPr>
        <w:shd w:val="clear" w:color="auto" w:fill="FCFCFC"/>
        <w:spacing w:beforeAutospacing="1" w:afterAutospacing="1"/>
        <w:ind w:firstLine="567"/>
        <w:rPr>
          <w:rFonts w:ascii="Arial" w:hAnsi="Arial" w:cs="Arial"/>
          <w:color w:val="363636"/>
          <w:sz w:val="24"/>
        </w:rPr>
      </w:pPr>
      <w:r w:rsidRPr="00853B79">
        <w:rPr>
          <w:rFonts w:ascii="Arial" w:hAnsi="Arial" w:cs="Arial"/>
          <w:color w:val="363636"/>
          <w:sz w:val="24"/>
        </w:rPr>
        <w:t>Кваліфікаційно-дисциплінарна комісія прокурорів (далі – КДКП, Комісія)  у складі: головуючого Радзівона М.О., членів Комісії – Бобровник С.В.,  Булулукова О.Ю., Гарбузи Н.В., Коваль К.П., Куриленка Д.В., Мавроді В.В., Міхеда О.В., Мнишенко Є.С., Степанової Т.В., на виконання рішення Київського окружного адміністративного суду від 12 лютого 2025 року у справі  № 640/30310/21 за позовом Михалевича Володимира Романовича (далі – Михалевича В.Р.)</w:t>
      </w:r>
      <w:r w:rsidRPr="00853B79">
        <w:rPr>
          <w:rFonts w:ascii="Arial" w:hAnsi="Arial" w:cs="Arial"/>
          <w:color w:val="363636"/>
          <w:sz w:val="32"/>
          <w:szCs w:val="32"/>
        </w:rPr>
        <w:t> </w:t>
      </w:r>
      <w:r w:rsidRPr="00853B79">
        <w:rPr>
          <w:rFonts w:ascii="Arial" w:hAnsi="Arial" w:cs="Arial"/>
          <w:color w:val="363636"/>
          <w:sz w:val="24"/>
        </w:rPr>
        <w:t>до Комісії, Генерального прокурора, Офісу Генерального прокурора про визнання протиправною бездіяльність, зобов’язання вчинити дії та за результатами розгляду заяви Михалевича В.Р. від 13 квітня 2026 року  № 07/3-1690вх</w:t>
      </w:r>
    </w:p>
    <w:p w14:paraId="120E622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 </w:t>
      </w:r>
    </w:p>
    <w:p w14:paraId="4CD88600" w14:textId="77777777" w:rsidR="00853B79" w:rsidRPr="00853B79" w:rsidRDefault="00853B79" w:rsidP="00853B79">
      <w:pPr>
        <w:shd w:val="clear" w:color="auto" w:fill="FCFCFC"/>
        <w:spacing w:beforeAutospacing="1" w:afterAutospacing="1"/>
        <w:ind w:firstLine="567"/>
        <w:rPr>
          <w:rFonts w:ascii="Arial" w:hAnsi="Arial" w:cs="Arial"/>
          <w:color w:val="363636"/>
          <w:sz w:val="24"/>
        </w:rPr>
      </w:pPr>
      <w:r w:rsidRPr="00853B79">
        <w:rPr>
          <w:rFonts w:ascii="Arial" w:hAnsi="Arial" w:cs="Arial"/>
          <w:b/>
          <w:bCs/>
          <w:color w:val="363636"/>
          <w:sz w:val="24"/>
        </w:rPr>
        <w:t>УСТАНОВИЛА:</w:t>
      </w:r>
    </w:p>
    <w:p w14:paraId="2999964D"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 </w:t>
      </w:r>
    </w:p>
    <w:p w14:paraId="0427DBD2"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Михалевич В.Р. 30 травня 2021 року звернувся із заявою до першої кадрової комісії з добору на зайняття вакантних та тимчасово вакантних посад прокурорів в окружних прокуратурах і спеціалізованих прокуратурах у військовій та оборонній сфері (на правах окружних), створеної наказом Генерального прокурора від 30 квітня 2021 року № 137, про участь у доборі на зайняття вакантної посади прокурора окружної прокуратури, розпочатому згідно з наказом Генерального прокурора від 30 квітня 2021 року № 134 (справа  № 640/30310/21).</w:t>
      </w:r>
    </w:p>
    <w:p w14:paraId="0828C496"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Рішенням першої та другої кадрових комісій з добору на зайняття вакантних та тимчасово вакантних посад прокурорів в окружних прокуратурах і спеціалізованих прокуратурах у військовій та оборонній сфері (на правах окружних) від 20 липня 2021 року Михалевича В.Р. допущено до участі в доборі.</w:t>
      </w:r>
    </w:p>
    <w:p w14:paraId="1F0A51F0"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Михалевич В.Р. успішно пройшов перший і другий етапи добору та  19 серпня 2021 року був допущений до третього етапу – проведення співбесіди.</w:t>
      </w:r>
    </w:p>
    <w:p w14:paraId="69F61470" w14:textId="77777777" w:rsidR="00853B79" w:rsidRPr="00853B79" w:rsidRDefault="00853B79" w:rsidP="00853B79">
      <w:pPr>
        <w:shd w:val="clear" w:color="auto" w:fill="FCFCFC"/>
        <w:spacing w:beforeAutospacing="1" w:afterAutospacing="1"/>
        <w:ind w:firstLine="567"/>
        <w:rPr>
          <w:rFonts w:ascii="Arial" w:hAnsi="Arial" w:cs="Arial"/>
          <w:color w:val="363636"/>
          <w:sz w:val="24"/>
        </w:rPr>
      </w:pPr>
      <w:r w:rsidRPr="00853B79">
        <w:rPr>
          <w:rFonts w:ascii="Arial" w:hAnsi="Arial" w:cs="Arial"/>
          <w:color w:val="363636"/>
          <w:sz w:val="24"/>
        </w:rPr>
        <w:lastRenderedPageBreak/>
        <w:t>Відповідно до змісту протоколу засідання першої кадрової комісії  від 10 вересня 2021 року № 5 (далі – кадрова комісія) за пропозицію щодо визначення Михалевича В.Р. кандидатом, який успішно пройшов добір, проголосували «за» три члени і два – «проти»,</w:t>
      </w:r>
      <w:r w:rsidRPr="00853B79">
        <w:rPr>
          <w:rFonts w:ascii="Arial" w:hAnsi="Arial" w:cs="Arial"/>
          <w:b/>
          <w:bCs/>
          <w:color w:val="363636"/>
          <w:sz w:val="24"/>
        </w:rPr>
        <w:t> </w:t>
      </w:r>
      <w:r w:rsidRPr="00853B79">
        <w:rPr>
          <w:rFonts w:ascii="Arial" w:hAnsi="Arial" w:cs="Arial"/>
          <w:color w:val="363636"/>
          <w:sz w:val="24"/>
        </w:rPr>
        <w:t>проте за результатами голосування кадрова комісія рішення не прийняла, згідно з абзацом 2 пункту 12 Порядку роботи кадрових комісій, затвердженого наказом Генерального прокурора від 17 жовтня 2019 року № 233, якщо рішення про успішне проходження прокурором атестації за результатами співбесіди не набрало чотирьох голосів, то комісія ухвалює рішення про неуспішне проходження прокурором атестації.</w:t>
      </w:r>
    </w:p>
    <w:p w14:paraId="207B0BFE"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Михалевич В.Р. не погодився з таким рішенням кадрової комісії та звернувся до суду за захистом порушених прав.</w:t>
      </w:r>
    </w:p>
    <w:p w14:paraId="2B87DA0E"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Окружний адміністративний суду міста Києва рішенням від 23 червня  2022 року задовольнив позов Михалевича В.Р., визнав протиправною бездіяльність кадрової комісії щодо неприйняття рішення про визначення Михалевича В.Р. кандидатом, який успішно пройшов добір на посаду прокурора у відповідному органі прокуратури, зобов’язав Офіс Генерального прокурора прийняти рішення про визначення Михалевича В.Р. кандидатом, який успішно пройшов добір на посаду прокурора у відповідному органі прокуратури.</w:t>
      </w:r>
    </w:p>
    <w:p w14:paraId="15C50934"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Указане рішення суду Офіс Генерального прокурора оскаржив в апеляційному порядку.</w:t>
      </w:r>
    </w:p>
    <w:p w14:paraId="42FED99F"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Надалі Шостий апеляційний адміністративний суд постановою  від 20 вересня 2022 року апеляційну скаргу Офісу Генерального прокурора задовольнив частково, рішення Окружного адміністративного суду міста Києва  від 23 червня 2022 року змінив у резолютивній частині, а саме: адміністративний позов Михалевича В.Р. задовольнив частково, визнав протиправною бездіяльність кадрової комісії щодо неприйняття рішення за результатами проведення добору на зайняття Михалевичем В.Р. як кандидатом вакантної посади прокурора у відповідному органі прокуратури, зобов’язав Офіс Генерального прокурора прийняти рішення за результатами проведення добору на зайняття Михалевичем В.Р. як кандидатом вакантної посади прокурора у відповідному органі прокуратури.</w:t>
      </w:r>
    </w:p>
    <w:p w14:paraId="45EF786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Указане рішення суду Офіс Генерального прокурора оскаржив в касаційному порядку.</w:t>
      </w:r>
    </w:p>
    <w:p w14:paraId="0EEB3135"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Верховний Суд постановою від 11 травня 2023 року касаційну скаргу Офісу Генерального прокурора задовольнив частково, рішення Окружного адміністративного суду міста Києва від 23 червня 2022 року та постанову Шостого апеляційного адміністративного суду від 20 вересня 2022 року в частині позовних вимог про зобов’язання Генерального прокурора прийняти рішення про визначення Михалевича В.Р. кандидатом, який успішно пройшов добір на посаду прокурора у відповідному органі прокуратури, скасував та направив справу на новий розгляд до суду першої інстанції – Київського окружного адміністративного суду.</w:t>
      </w:r>
    </w:p>
    <w:p w14:paraId="6FCB88A8"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У решті позовних вимог рішення Окружного адміністративного суду міста Києва від 23 червня 2022 року та постанову Шостого апеляційного адміністративного суду від 20 вересня 2022 року у цій справі залишено без змін, а касаційну скаргу – без задоволення.</w:t>
      </w:r>
    </w:p>
    <w:p w14:paraId="6E467D07" w14:textId="77777777" w:rsidR="00853B79" w:rsidRPr="00853B79" w:rsidRDefault="00853B79" w:rsidP="00853B79">
      <w:pPr>
        <w:shd w:val="clear" w:color="auto" w:fill="FCFCFC"/>
        <w:spacing w:beforeAutospacing="1" w:afterAutospacing="1"/>
        <w:ind w:firstLine="567"/>
        <w:rPr>
          <w:rFonts w:ascii="Arial" w:hAnsi="Arial" w:cs="Arial"/>
          <w:color w:val="363636"/>
          <w:sz w:val="24"/>
        </w:rPr>
      </w:pPr>
      <w:r w:rsidRPr="00853B79">
        <w:rPr>
          <w:rFonts w:ascii="Arial" w:hAnsi="Arial" w:cs="Arial"/>
          <w:color w:val="363636"/>
          <w:sz w:val="24"/>
        </w:rPr>
        <w:lastRenderedPageBreak/>
        <w:t>Згідно з ухвалою Київського окружного адміністративного суду від 13 січня  2025 року відповідача у справі </w:t>
      </w:r>
      <w:bookmarkStart w:id="0" w:name="_Hlk227166762"/>
      <w:r w:rsidRPr="00853B79">
        <w:rPr>
          <w:rFonts w:ascii="Arial" w:hAnsi="Arial" w:cs="Arial"/>
          <w:color w:val="363636"/>
          <w:sz w:val="24"/>
        </w:rPr>
        <w:t>– </w:t>
      </w:r>
      <w:bookmarkEnd w:id="0"/>
      <w:r w:rsidRPr="00853B79">
        <w:rPr>
          <w:rFonts w:ascii="Arial" w:hAnsi="Arial" w:cs="Arial"/>
          <w:color w:val="363636"/>
          <w:sz w:val="24"/>
        </w:rPr>
        <w:t>кадрову комісію, замінено та визнано відповідачем у справі відповідний орган, що здійснює дисциплінарне провадження.</w:t>
      </w:r>
    </w:p>
    <w:p w14:paraId="21377A3E"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Своє рішення суд мотивував тим, що з 01 вересня 2021 року «ураховуючи приписи пунктів 21, 22 розділу ІІ «Прикінцеві і перехідні положення», пункту 21 розділу І Закону України «Про внесення змін до деяких законодавчих актів України щодо першочергових заходів із реформи органів прокуратури» та наказу Генерального прокурора від 17.11.2021 № 362, у спірних правовідносинах відбулось компетенційне публічне правонаступництво, тобто перехід функцій щодо здійснення добору на посади прокурорів від кадрових комісій, функції яких припинено, до відповідного органу, що здійснює дисциплінарне провадження».</w:t>
      </w:r>
    </w:p>
    <w:p w14:paraId="68596A5F"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Відповідно до рішення Київського окружного адміністративного суду від 12 лютого 2025 року позов задоволено та зобов’язано КДКП прийняти рішення за результатами проведення добору на зайняття Михалевичем В.Р. як кандидатом вакантної посади прокурора у відповідному органі прокуратури. Указане рішення у справі прийнято без участі та повідомлення КДКП за правилами спрощеного позовного провадження.</w:t>
      </w:r>
    </w:p>
    <w:p w14:paraId="4952B426"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Шостий апеляційний адміністративний суд постановою від 30 липня  2025 року апеляційну скаргу КДКП залишив без задоволення, а рішення суду першої інстанції від 12 лютого 2025 року – без змін.</w:t>
      </w:r>
    </w:p>
    <w:p w14:paraId="04D5F664"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Верховний Суд ухвалою від 11 листопада 2025 року відмовив у відкритті провадження за касаційною скаргою КДКП у цій справі.</w:t>
      </w:r>
    </w:p>
    <w:p w14:paraId="1F5A12FA"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З огляду на те, що рішення Київського окружного адміністративного суду від 12 лютого 2025 року у справі № 640/30310/21 набрало законної сили, Комісія на його виконання, у межах визначених законом повноважень і з урахуванням вимог Закону України «Про внесення змін до деяких законів України щодо удосконалення добору та підготовки прокурорів» (зі змінами), уповноважується прийняти рішення за результатами проведення добору на зайняття  Михалевичем В.Р. як кандидатом вакантної посади прокурора у відповідному органі прокуратури, який розпочато та завершено в 2021 році.</w:t>
      </w:r>
    </w:p>
    <w:p w14:paraId="5D96C095"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Під час прийняття рішення на виконання рішення Київського окружного адміністративного суду від 12 лютого 2025 року Комісія врахувала таке.</w:t>
      </w:r>
    </w:p>
    <w:p w14:paraId="7B670412" w14:textId="77777777" w:rsidR="00853B79" w:rsidRPr="00853B79" w:rsidRDefault="00853B79" w:rsidP="00853B79">
      <w:pPr>
        <w:shd w:val="clear" w:color="auto" w:fill="FCFCFC"/>
        <w:spacing w:beforeAutospacing="1" w:afterAutospacing="1"/>
        <w:ind w:firstLine="567"/>
        <w:rPr>
          <w:rFonts w:ascii="Arial" w:hAnsi="Arial" w:cs="Arial"/>
          <w:color w:val="363636"/>
          <w:sz w:val="24"/>
        </w:rPr>
      </w:pPr>
      <w:r w:rsidRPr="00853B79">
        <w:rPr>
          <w:rFonts w:ascii="Arial" w:hAnsi="Arial" w:cs="Arial"/>
          <w:color w:val="363636"/>
          <w:sz w:val="24"/>
        </w:rPr>
        <w:t>Добір кандидатів та їх призначення на посаду прокурора окружної прокуратури на разі здійснюється в порядку, визначеному Законом України «Про прокуратуру», і передбачає: прийняття рішення про проведення добору; подання документів особами, які виявили бажання стати прокурорами, у тому числі перевірку їх відповідності вимогам, установлених Законом; проведення кваліфікаційного іспиту; організацію спеціальної перевірки; визначення рейтингу кандидатів; формування резерву на заміщення вакантних посад; проведення конкурсу на призначення прокурором-стажистом окружної прокуратури; направлення керівнику обласної прокуратури подання щодо призначення кандидата прокурором-стажистом окружної прокуратури; проходження прокурором-стажистом окружної прокуратури спеціальної підготовки; направлення керівнику обласної прокуратури подання щодо призначення прокурора-стажиста окружної прокуратури, який успішно пройшов спеціальну підготовку, на посаду прокурора окружної прокуратури.</w:t>
      </w:r>
      <w:bookmarkStart w:id="1" w:name="_Hlk224572169"/>
      <w:bookmarkEnd w:id="1"/>
    </w:p>
    <w:p w14:paraId="3A140E9D"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lastRenderedPageBreak/>
        <w:t>Порядок проведення добору на зайняття вакантної посади прокурора  (далі – Порядок № 11), згідно з яким проводився добір, у якому брав участь  Михалевич В.Р. у 2021 році, був затверджений наказом Генерального прокурора від 10 січня 2020 року № 11 відповідно до Закону України «Про внесення змін до деяких законодавчих актів України щодо першочергових заходів із реформи органів прокуратури», і передбачав такі три етапи: складання іспиту у формі анонімного тестування з використанням комп’ютерної техніки з метою виявлення рівня знань та умінь у застосуванні закону, відповідності здійснювати повноваження прокурора; складання іспиту у формі анонімного тестування на загальні здібності та навички з використанням комп’ютерної техніки; проведення співбесіди з метою виявлення відповідності кандидата вимогам професійної компетентності та доброчесності. Для оцінки рівня володіння практичними уміннями та навичками кандидати виконували письмове практичне завдання.</w:t>
      </w:r>
    </w:p>
    <w:p w14:paraId="2E81826A"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Відповідно до пунктів 49, 50, 51 Порядку № 11 співбесіда полягала в обговоренні членами кадрової комісії результатів дослідження матеріалів щодо кандидата: його доброчесності; рівня професійної компетентності, зокрема з огляду на результати виконаного ним практичного завдання.</w:t>
      </w:r>
    </w:p>
    <w:p w14:paraId="3974ED22"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Співбесіда кандидата складалася з певних етапів: дослідження членами кадрової комісії матеріалів стосовно кандидата, послідовне обговорення з ним відповідних матеріалів, зокрема у формі запитань і відповідей, а також обговорення результатів виконання ним практичного завдання.</w:t>
      </w:r>
    </w:p>
    <w:p w14:paraId="55B9F5E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Члени кадрової комісії мали право ставити запитання кандидату, з яким проводили співбесіду, щодо його професійної компетенції, доброчесності та іншої інформації, яка містилася у матеріалах стосовно кандидата.</w:t>
      </w:r>
    </w:p>
    <w:p w14:paraId="5A1BCD33"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Пунктом 52 Порядку № 11 передбачено, що після завершення співбесіди члени кадрової комісії без присутності кандидата, із яким проводилася співбесіда, і без фіксації за допомогою технічних засобів відео- та звукозапису обговорюють результати співбесіди, висловлюють пропозиції щодо рішення кадрової комісії, а також проводять відкрите голосування щодо рішення кадрової комісії стосовно кандидата, який проходить добір. Результати голосування відображаються в протоколі засідання.</w:t>
      </w:r>
    </w:p>
    <w:p w14:paraId="779C0A65"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Залежно від результатів голосування кадрова комісія визначала кандидатів, які успішно пройшли добір на посаду прокурора у відповідному органі прокуратури (пункт 53 Порядку № 11).</w:t>
      </w:r>
    </w:p>
    <w:p w14:paraId="3847C1F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Отже, за результатами проведеної співбесіди з Михалевичем В.Р. кадрова комісія голосувала за пропозицію щодо визначення його кандидатом, який успішно пройшов добір на посаду прокурора у відповідному органі прокуратури. Однак за результатами голосування членів комісії («за» – три, «проти» – два) таке рішення не було прийнято.</w:t>
      </w:r>
    </w:p>
    <w:p w14:paraId="33E93BE8"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Зважаючи на те, що в Порядку № 11 на час проведення добору, у якому брав участь Михайлевич В.Р. у 2021 році, не було передбачено ухвалення рішення про неуспішне проходження кандидатом добору, таке рішення кадрова комісія за результатами співбесіди з Михайлевичам В.Р. не ухвалювала.</w:t>
      </w:r>
    </w:p>
    <w:p w14:paraId="15AC13F1"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lastRenderedPageBreak/>
        <w:t>Згідно з чинним на сьогодні порядком добору кандидатів на посаду прокурора співбесіди з кандидатом не передбачено.</w:t>
      </w:r>
    </w:p>
    <w:p w14:paraId="0585C42B"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Тільки на наступному етапі добору під час спеціальної перевірки (проводиться відповідно до статті 32 Закону України «Про прокуратуру», статті 56 Закону України «Про запобігання корупції») стосовно кандидатів на посаду прокурора окружної прокуратури, які успішно склали кваліфікаційний іспит, у разі одержання інформації, що може свідчити про недоброчесність кандидата, Комісія відповідно до пункту 5.4 розділ 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(зі змінами) (далі – Положення), на своєму засіданні за участю такого кандидата розглядає одержану стосовно нього інформацію та його пояснення.</w:t>
      </w:r>
    </w:p>
    <w:p w14:paraId="77C36143"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Така перевірка здійснюється відповідно до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 березня 2015 року № 171 (зі змінами, внесеними постановою Кабінету Міністрів України від 27 серпня 2022 року № 959).</w:t>
      </w:r>
    </w:p>
    <w:p w14:paraId="1D7737A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Натомість положеннями Порядку № 11 не було передбачено етапу організації кадровою комісією спеціальної перевірки відомостей про кандидатів, які брали участь у доборі, розпочатому згідно з наказом Генерального прокурора  від 30 квітня 2021 року № 134. Отже, стосовно Михалевича В.Р. як кандидата на вакантну посаду прокурора у відповідному органі прокуратури спеціальної перевірки не проведено.</w:t>
      </w:r>
    </w:p>
    <w:p w14:paraId="019F0CAA"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Кадрова комісія відповідно до пункту 55 Порядку № 11 за результатами співбесіди формувала загальний рейтинг кандидатів, які успішно пройшли добір, шляхом додавання балів, отриманих кандидатом за результатами складання етапів іспиту.</w:t>
      </w:r>
    </w:p>
    <w:p w14:paraId="4DB5870F"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КДКП згідно з пунктом 6.1 розділу VI Положення визначає рейтинг кандидатів на посаду прокурора відповідно до кількості балів, набраних кандидатом за результатами складання кваліфікаційного іспиту.</w:t>
      </w:r>
    </w:p>
    <w:p w14:paraId="480B3838"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КДКП не має законних підстав ознайомлюватися та запитувати матеріали щодо участі Михалевича В.Р. у доборі на зайняття вакантних та тимчасово вакантних посад прокурорів в окружних прокуратурах і спеціалізованих прокуратурах у військовій та оборонній сфері, який проводила кадрова комісія, оскільки відповідно до пункту 64 Порядку № 11 усі матеріали, пов’язані з роботою кадрової комісії (протоколи засідань кадрової комісії, рішення кадрової комісії, матеріали щодо кандидатів, інформація, отримана від фізичних та юридичних осіб щодо кандидатів тощо), після завершення проведення добору передано згідно з актом приймання-передачі за підписом голови кадрової комісії на зберігання до кадрового органу прокуратури, при якому було утворено відповідну кадрову комісію.</w:t>
      </w:r>
    </w:p>
    <w:p w14:paraId="7178A59E"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 xml:space="preserve">Таким чином, Комісія доходить висновку, що участь Михалевича В.Р. у доборі кандидатів на посаду прокурора на етапі визначення рейтингу кандидатів на посаду прокурора відповідно до кількості балів, набраних за результатами складання </w:t>
      </w:r>
      <w:r w:rsidRPr="00853B79">
        <w:rPr>
          <w:rFonts w:ascii="Arial" w:hAnsi="Arial" w:cs="Arial"/>
          <w:color w:val="363636"/>
          <w:sz w:val="24"/>
        </w:rPr>
        <w:lastRenderedPageBreak/>
        <w:t>кваліфікаційного іспиту, не можлива у зв’язку з відсутністю у Комісії матеріалів добору, зокрема й результатів складання ним кваліфікаційного іспиту.</w:t>
      </w:r>
    </w:p>
    <w:p w14:paraId="3C76801B"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Окрім того, згідно з положеннями статей 29, 32¹ Закону України «Про прокуратуру» до призначення на посаду прокурора окружної прокуратури кандидат на посаду прокурора, який перебуває в резерві, подає письмову заяву про участь у конкурсі із зазначенням окружної прокуратури, у якій є вакантна (тимчасово вакантна) посада прокурора окружної прокуратури (крім адміністративних посад), і в якій він бажає бути призначеним прокурором-стажистом.</w:t>
      </w:r>
    </w:p>
    <w:p w14:paraId="291D6041"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Після проведення КДКП конкурсу на призначення прокурорів-стажистів окружних прокуратур на підставі рейтингу кандидатів на посаду прокурора відповідно до кількості балів, набраних за результатами складання кваліфікаційного іспиту, Комісія надсилає керівникові відповідної обласної прокуратури особову справу кандидата на посаду прокурора та подання про призначення кандидата прокурором-стажистом окружної прокуратури.</w:t>
      </w:r>
    </w:p>
    <w:p w14:paraId="67026C49"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Після видачі наказу керівника обласної прокуратури про призначення кандидата на посаду прокурора-стажиста окружної прокуратури згідно з нормами статей 29, 33, 33¹, 33² Закону України «Про прокуратуру» наступним етапом є спеціальна підготовка та стажування.</w:t>
      </w:r>
    </w:p>
    <w:p w14:paraId="63012215"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Інформації про те, що Михалевич В.Р. проходив зазначені етапи добору у КДКП немає, крім того, таких етапів не було передбачено у чинному в 2021 році Порядку № 11.</w:t>
      </w:r>
    </w:p>
    <w:p w14:paraId="3D85593E"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Таким чином, Комісія, приймаючи рішення на виконання рішення Київського окружного адміністративного суду від 12 лютого 2025 року у справі № 640/30310/21 про зобов’язання КДКП прийняти рішення за результатами проведення добору на зайняття Михалевичем В.Р. як кандидатом вакантної посади прокурора у відповідному органі прокуратури, не може вийти за межі повноважень, наданих Законом України «Про прокуратуру», і чинного порядку добору кандидатів на посаду прокурора окружної прокуратури, оскільки добір кандидатів та їх призначення на посаду прокурора не можливий без проходження кандидатом усіх визначених чинним законодавством етапів такого добору.</w:t>
      </w:r>
    </w:p>
    <w:p w14:paraId="3FBD82A7"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Здійснюючи свою діяльність на засадах верховенства права, законності, незалежності, відкритості і гласності, колегіальності, змагальності, неупередженості, об’єктивності та дотримання гарантій незалежності прокурора, КДКП діє лише на підставі, у межах повноважень і у спосіб, що передбачені Конституцією та законами України.</w:t>
      </w:r>
    </w:p>
    <w:p w14:paraId="644A266B"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Приймаючи рішення, КДКП враховує, що рішенням від 12 лютого 2025 року у справі № 640/30310/21 Київський окружний адміністративний суд не зобов’язує її прийняти конкретне рішення стосовно кандидата, залишаючи вибір такого рішення на розсуд колегіального органу в межах його дискреційних повноважень.</w:t>
      </w:r>
    </w:p>
    <w:p w14:paraId="0BB0CA57"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 xml:space="preserve">Комісія зазначає, що Закон України «Про прокуратуру», Положення про порядок роботи відповідного органу, що здійснює дисциплінарне провадження, прийняте всеукраїнською конференцією прокурорів 27 квітня 2017 року (зі змінами), Положення про порядок розгляду питань та підготовки матеріалів щодо проведення добору </w:t>
      </w:r>
      <w:r w:rsidRPr="00853B79">
        <w:rPr>
          <w:rFonts w:ascii="Arial" w:hAnsi="Arial" w:cs="Arial"/>
          <w:color w:val="363636"/>
          <w:sz w:val="24"/>
        </w:rPr>
        <w:lastRenderedPageBreak/>
        <w:t>кандидатів на вакантну (тимчасово вакантну) посаду прокурора окружної прокуратури (із змінами) не містять норм або підстав для допуску Михалевича В.Р. як кандидата добору на зайняття вакантних та тимчасово вакантних посад прокурорів в окружних прокуратурах і спеціалізованих прокуратурах у військовій та оборонній сфері, завершеного в 2021 році, до участі в доборі кандидатів на посаду прокурора окружної прокуратури, який КДКП здійснює з додержанням чинних вимог Закону України «Про прокуратуру».</w:t>
      </w:r>
    </w:p>
    <w:p w14:paraId="184F1B90"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Урегульований нормами Закону України «Про внесення змін до деяких законодавчих актів України щодо першочергових заходів із реформи органів прокуратури» від 19 вересня 2019 року № 113-ІХ та затвердженим наказом Генерального прокурора від 10 січня 2020 року № 11 Порядком проведення  добору на зайняття вакантної посади прокурора добір, у якому брав участь Михалевич В.Р., і добір кандидатів на посаду прокурора, який проводиться наразі на підставі Закону України «Про прокуратуру», є різними процедурами, що мають різну дію в часі, різні етапи та правові наслідки, не замінюють одна одну та не суперечать одна одній.</w:t>
      </w:r>
    </w:p>
    <w:p w14:paraId="2DE12061"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Присутній на засіданні Комісії 15 квітня 2026 року Михалевич В.Р. погодився з доводами Комісії про відсутність у КДКП повноважень для прийняття відповідного рішення на виконання рішення суду з урахування положень чинного законодавства. Крім того він повідомив, що на підставі наказу керівника Київської обласної прокуратури від 26 січня 2026 року № 124к його призначено на посаду прокурора відділу нагляду за додержанням законів територіальними органами поліції при проведенні досудового розслідування, дізнання та підтримання публічного обвинувачення управління нагляду за додержанням законів Національною поліцією України Київської обласної прокуратури.</w:t>
      </w:r>
    </w:p>
    <w:p w14:paraId="30A40481"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Також у поданій 13 квітня 2026 року заяві Михалевич В.Р. просив КДКП припинити розгляд питання прийняття рішення за результатами проведення добору першою кадровою комісією на зайняття ним як кандидатом вакантної посади прокурора у відповідному органі прокуратури та виконання рішення Київського окружного адміністративного суду від 12 лютого 2025 року у справі № 640/30310/21 за його позовом, яким зобов’язано Комісію прийняти це рішення.</w:t>
      </w:r>
    </w:p>
    <w:p w14:paraId="1F4D857C"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Ураховуючи викладене, Комісія дійшла консолідованого висновку про наявність підстав для відмови Михалевичу В.Р. у прийнятті рішення за результатами добору, проведеного першою кадровою комісією з добору на зайняття вакантних та тимчасово вакантних посад прокурорів в окружних прокуратурах і спеціалізованих прокуратурах у військовій та оборонній сфері, створеною наказом Генерального прокурора від 30 квітня 2021 року № 137, який втратив чинність на підставі наказу Генерального прокурора від 15 листопада 2021 року № 356, на зайняття ним як кандидатом вакантної посади прокурора у відповідному органі прокуратури.</w:t>
      </w:r>
    </w:p>
    <w:p w14:paraId="7C06977F" w14:textId="77777777" w:rsidR="00853B79" w:rsidRPr="00853B79" w:rsidRDefault="00853B79" w:rsidP="00853B79">
      <w:pPr>
        <w:shd w:val="clear" w:color="auto" w:fill="FCFCFC"/>
        <w:spacing w:before="100" w:beforeAutospacing="1" w:after="100" w:afterAutospacing="1"/>
        <w:ind w:firstLine="567"/>
        <w:rPr>
          <w:rFonts w:ascii="Arial" w:hAnsi="Arial" w:cs="Arial"/>
          <w:color w:val="363636"/>
          <w:sz w:val="24"/>
        </w:rPr>
      </w:pPr>
      <w:r w:rsidRPr="00853B79">
        <w:rPr>
          <w:rFonts w:ascii="Arial" w:hAnsi="Arial" w:cs="Arial"/>
          <w:color w:val="363636"/>
          <w:sz w:val="24"/>
        </w:rPr>
        <w:t xml:space="preserve">Таким чином, керуючись статтями 29, 32¹, 33, 33¹, 33², 33³, 73, 77, 78 Закону України «Про прокуратуру», пунктами 61 – 63, 83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Положенням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затвердженим рішенням Комісії  від 26 жовтня 2021 року № 11зп-21 (зі змінами), Порядком проходження стажування прокурора – стажиста окружної </w:t>
      </w:r>
      <w:r w:rsidRPr="00853B79">
        <w:rPr>
          <w:rFonts w:ascii="Arial" w:hAnsi="Arial" w:cs="Arial"/>
          <w:color w:val="363636"/>
          <w:sz w:val="24"/>
        </w:rPr>
        <w:lastRenderedPageBreak/>
        <w:t>прокуратури, затвердженим наказом Генерального прокурора 09 серпня 2023 року № 220, Комісія</w:t>
      </w:r>
    </w:p>
    <w:p w14:paraId="23EEDED8" w14:textId="77777777" w:rsidR="00853B79" w:rsidRPr="00853B79" w:rsidRDefault="00853B79" w:rsidP="00853B79">
      <w:pPr>
        <w:shd w:val="clear" w:color="auto" w:fill="FCFCFC"/>
        <w:spacing w:before="100" w:beforeAutospacing="1" w:after="100" w:afterAutospacing="1"/>
        <w:rPr>
          <w:rFonts w:ascii="Arial" w:hAnsi="Arial" w:cs="Arial"/>
          <w:color w:val="363636"/>
          <w:sz w:val="24"/>
        </w:rPr>
      </w:pPr>
      <w:r w:rsidRPr="00853B79">
        <w:rPr>
          <w:rFonts w:ascii="Arial" w:hAnsi="Arial" w:cs="Arial"/>
          <w:color w:val="363636"/>
          <w:sz w:val="24"/>
        </w:rPr>
        <w:t> </w:t>
      </w:r>
    </w:p>
    <w:p w14:paraId="1DE7DA1D" w14:textId="77777777" w:rsidR="00853B79" w:rsidRPr="00853B79" w:rsidRDefault="00853B79" w:rsidP="00853B79">
      <w:pPr>
        <w:shd w:val="clear" w:color="auto" w:fill="FCFCFC"/>
        <w:spacing w:beforeAutospacing="1" w:afterAutospacing="1"/>
        <w:rPr>
          <w:rFonts w:ascii="Arial" w:hAnsi="Arial" w:cs="Arial"/>
          <w:color w:val="363636"/>
          <w:sz w:val="24"/>
        </w:rPr>
      </w:pPr>
      <w:r w:rsidRPr="00853B79">
        <w:rPr>
          <w:rFonts w:ascii="Arial" w:hAnsi="Arial" w:cs="Arial"/>
          <w:b/>
          <w:bCs/>
          <w:color w:val="363636"/>
          <w:sz w:val="24"/>
        </w:rPr>
        <w:t>  ВИРІШИЛА:</w:t>
      </w:r>
    </w:p>
    <w:p w14:paraId="62A7559D" w14:textId="77777777" w:rsidR="00853B79" w:rsidRPr="00853B79" w:rsidRDefault="00853B79" w:rsidP="00853B79">
      <w:pPr>
        <w:shd w:val="clear" w:color="auto" w:fill="FCFCFC"/>
        <w:spacing w:before="100" w:beforeAutospacing="1" w:after="100" w:afterAutospacing="1"/>
        <w:rPr>
          <w:rFonts w:ascii="Arial" w:hAnsi="Arial" w:cs="Arial"/>
          <w:color w:val="363636"/>
          <w:sz w:val="24"/>
        </w:rPr>
      </w:pPr>
      <w:r w:rsidRPr="00853B79">
        <w:rPr>
          <w:rFonts w:ascii="Arial" w:hAnsi="Arial" w:cs="Arial"/>
          <w:color w:val="363636"/>
          <w:sz w:val="24"/>
        </w:rPr>
        <w:t> </w:t>
      </w:r>
    </w:p>
    <w:p w14:paraId="488C4206" w14:textId="77777777" w:rsidR="00853B79" w:rsidRPr="00853B79" w:rsidRDefault="00853B79" w:rsidP="00853B79">
      <w:pPr>
        <w:shd w:val="clear" w:color="auto" w:fill="FCFCFC"/>
        <w:ind w:right="-1" w:firstLine="426"/>
        <w:rPr>
          <w:rFonts w:ascii="Arial" w:hAnsi="Arial" w:cs="Arial"/>
          <w:color w:val="363636"/>
          <w:sz w:val="24"/>
        </w:rPr>
      </w:pPr>
      <w:r w:rsidRPr="00853B79">
        <w:rPr>
          <w:rFonts w:ascii="Arial" w:hAnsi="Arial" w:cs="Arial"/>
          <w:color w:val="363636"/>
          <w:sz w:val="24"/>
        </w:rPr>
        <w:t>1.</w:t>
      </w:r>
      <w:r w:rsidRPr="00853B79">
        <w:rPr>
          <w:color w:val="363636"/>
          <w:sz w:val="14"/>
          <w:szCs w:val="14"/>
        </w:rPr>
        <w:t>  </w:t>
      </w:r>
      <w:r w:rsidRPr="00853B79">
        <w:rPr>
          <w:rFonts w:ascii="Arial" w:hAnsi="Arial" w:cs="Arial"/>
          <w:color w:val="363636"/>
          <w:sz w:val="24"/>
        </w:rPr>
        <w:t>Відмовити у прийнятті рішення за результатами проведення першою кадровою комісією добору на зайняття Михалевичем Володимиром Романовичем як кандидатом вакантної посади прокурора у відповідному органі прокуратури.</w:t>
      </w:r>
    </w:p>
    <w:p w14:paraId="47CDBFCA" w14:textId="77777777" w:rsidR="00853B79" w:rsidRPr="00853B79" w:rsidRDefault="00853B79" w:rsidP="00853B79">
      <w:pPr>
        <w:shd w:val="clear" w:color="auto" w:fill="FCFCFC"/>
        <w:spacing w:beforeAutospacing="1" w:afterAutospacing="1"/>
        <w:ind w:firstLine="426"/>
        <w:rPr>
          <w:rFonts w:ascii="Arial" w:hAnsi="Arial" w:cs="Arial"/>
          <w:color w:val="363636"/>
          <w:sz w:val="24"/>
        </w:rPr>
      </w:pPr>
      <w:r w:rsidRPr="00853B79">
        <w:rPr>
          <w:rFonts w:ascii="Arial" w:hAnsi="Arial" w:cs="Arial"/>
          <w:color w:val="363636"/>
          <w:sz w:val="24"/>
        </w:rPr>
        <w:t>2.</w:t>
      </w:r>
      <w:r w:rsidRPr="00853B79">
        <w:rPr>
          <w:color w:val="363636"/>
          <w:sz w:val="14"/>
          <w:szCs w:val="14"/>
        </w:rPr>
        <w:t>  </w:t>
      </w:r>
      <w:r w:rsidRPr="00853B79">
        <w:rPr>
          <w:rFonts w:ascii="Arial" w:hAnsi="Arial" w:cs="Arial"/>
          <w:color w:val="363636"/>
          <w:sz w:val="24"/>
        </w:rPr>
        <w:t>Копію рішення надіслати Михалевичу В.Р.</w:t>
      </w:r>
    </w:p>
    <w:p w14:paraId="3B437988" w14:textId="77777777" w:rsidR="00853B79" w:rsidRPr="00853B79" w:rsidRDefault="00853B79" w:rsidP="00853B79">
      <w:pPr>
        <w:shd w:val="clear" w:color="auto" w:fill="FCFCFC"/>
        <w:spacing w:beforeAutospacing="1" w:afterAutospacing="1"/>
        <w:ind w:firstLine="426"/>
        <w:rPr>
          <w:rFonts w:ascii="Arial" w:hAnsi="Arial" w:cs="Arial"/>
          <w:color w:val="363636"/>
          <w:sz w:val="24"/>
        </w:rPr>
      </w:pPr>
      <w:r w:rsidRPr="00853B79">
        <w:rPr>
          <w:rFonts w:ascii="Arial" w:hAnsi="Arial" w:cs="Arial"/>
          <w:color w:val="363636"/>
          <w:sz w:val="24"/>
        </w:rPr>
        <w:t>3.</w:t>
      </w:r>
      <w:r w:rsidRPr="00853B79">
        <w:rPr>
          <w:color w:val="363636"/>
          <w:sz w:val="14"/>
          <w:szCs w:val="14"/>
        </w:rPr>
        <w:t>  </w:t>
      </w:r>
      <w:r w:rsidRPr="00853B79">
        <w:rPr>
          <w:rFonts w:ascii="Arial" w:hAnsi="Arial" w:cs="Arial"/>
          <w:color w:val="363636"/>
          <w:sz w:val="24"/>
        </w:rPr>
        <w:t>Рішення може бути оскаржено до Комісії або суду.</w:t>
      </w:r>
    </w:p>
    <w:p w14:paraId="269A2562" w14:textId="77777777" w:rsidR="00853B79" w:rsidRPr="00853B79" w:rsidRDefault="00853B79" w:rsidP="00853B79">
      <w:pPr>
        <w:jc w:val="left"/>
        <w:rPr>
          <w:sz w:val="24"/>
        </w:rPr>
      </w:pPr>
    </w:p>
    <w:tbl>
      <w:tblPr>
        <w:tblW w:w="9826" w:type="dxa"/>
        <w:shd w:val="clear" w:color="auto" w:fill="FCFCFC"/>
        <w:tblCellMar>
          <w:left w:w="0" w:type="dxa"/>
          <w:right w:w="0" w:type="dxa"/>
        </w:tblCellMar>
        <w:tblLook w:val="04A0" w:firstRow="1" w:lastRow="0" w:firstColumn="1" w:lastColumn="0" w:noHBand="0" w:noVBand="1"/>
      </w:tblPr>
      <w:tblGrid>
        <w:gridCol w:w="3386"/>
        <w:gridCol w:w="2872"/>
        <w:gridCol w:w="3568"/>
      </w:tblGrid>
      <w:tr w:rsidR="00853B79" w:rsidRPr="00853B79" w14:paraId="7BE525A0" w14:textId="77777777" w:rsidTr="00853B79">
        <w:trPr>
          <w:trHeight w:val="646"/>
        </w:trPr>
        <w:tc>
          <w:tcPr>
            <w:tcW w:w="3386" w:type="dxa"/>
            <w:shd w:val="clear" w:color="auto" w:fill="FCFCFC"/>
            <w:tcMar>
              <w:top w:w="0" w:type="dxa"/>
              <w:left w:w="108" w:type="dxa"/>
              <w:bottom w:w="0" w:type="dxa"/>
              <w:right w:w="108" w:type="dxa"/>
            </w:tcMar>
            <w:hideMark/>
          </w:tcPr>
          <w:p w14:paraId="0298E55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Головуючий</w:t>
            </w:r>
          </w:p>
        </w:tc>
        <w:tc>
          <w:tcPr>
            <w:tcW w:w="2872" w:type="dxa"/>
            <w:shd w:val="clear" w:color="auto" w:fill="FCFCFC"/>
            <w:tcMar>
              <w:top w:w="0" w:type="dxa"/>
              <w:left w:w="108" w:type="dxa"/>
              <w:bottom w:w="0" w:type="dxa"/>
              <w:right w:w="108" w:type="dxa"/>
            </w:tcMar>
            <w:hideMark/>
          </w:tcPr>
          <w:p w14:paraId="3EA1F73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6694F76E"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Максим РАДЗІВОН</w:t>
            </w:r>
          </w:p>
        </w:tc>
      </w:tr>
      <w:tr w:rsidR="00853B79" w:rsidRPr="00853B79" w14:paraId="5AE361A4" w14:textId="77777777" w:rsidTr="00853B79">
        <w:trPr>
          <w:trHeight w:val="315"/>
        </w:trPr>
        <w:tc>
          <w:tcPr>
            <w:tcW w:w="3386" w:type="dxa"/>
            <w:shd w:val="clear" w:color="auto" w:fill="FCFCFC"/>
            <w:tcMar>
              <w:top w:w="0" w:type="dxa"/>
              <w:left w:w="108" w:type="dxa"/>
              <w:bottom w:w="0" w:type="dxa"/>
              <w:right w:w="108" w:type="dxa"/>
            </w:tcMar>
            <w:hideMark/>
          </w:tcPr>
          <w:p w14:paraId="20E1763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04801470"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409CCFF9"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3E6DD926" w14:textId="77777777" w:rsidTr="00853B79">
        <w:trPr>
          <w:trHeight w:val="330"/>
        </w:trPr>
        <w:tc>
          <w:tcPr>
            <w:tcW w:w="3386" w:type="dxa"/>
            <w:shd w:val="clear" w:color="auto" w:fill="FCFCFC"/>
            <w:tcMar>
              <w:top w:w="0" w:type="dxa"/>
              <w:left w:w="108" w:type="dxa"/>
              <w:bottom w:w="0" w:type="dxa"/>
              <w:right w:w="108" w:type="dxa"/>
            </w:tcMar>
            <w:hideMark/>
          </w:tcPr>
          <w:p w14:paraId="6025B6C7"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Члени Комісії</w:t>
            </w:r>
          </w:p>
        </w:tc>
        <w:tc>
          <w:tcPr>
            <w:tcW w:w="2872" w:type="dxa"/>
            <w:shd w:val="clear" w:color="auto" w:fill="FCFCFC"/>
            <w:tcMar>
              <w:top w:w="0" w:type="dxa"/>
              <w:left w:w="108" w:type="dxa"/>
              <w:bottom w:w="0" w:type="dxa"/>
              <w:right w:w="108" w:type="dxa"/>
            </w:tcMar>
            <w:hideMark/>
          </w:tcPr>
          <w:p w14:paraId="21E1E73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26F99D8"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Світлана БОБРОВНИК</w:t>
            </w:r>
          </w:p>
        </w:tc>
      </w:tr>
      <w:tr w:rsidR="00853B79" w:rsidRPr="00853B79" w14:paraId="1984F1B3" w14:textId="77777777" w:rsidTr="00853B79">
        <w:trPr>
          <w:trHeight w:val="315"/>
        </w:trPr>
        <w:tc>
          <w:tcPr>
            <w:tcW w:w="3386" w:type="dxa"/>
            <w:shd w:val="clear" w:color="auto" w:fill="FCFCFC"/>
            <w:tcMar>
              <w:top w:w="0" w:type="dxa"/>
              <w:left w:w="108" w:type="dxa"/>
              <w:bottom w:w="0" w:type="dxa"/>
              <w:right w:w="108" w:type="dxa"/>
            </w:tcMar>
            <w:hideMark/>
          </w:tcPr>
          <w:p w14:paraId="17304D04"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33074D7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3A34E01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1C300C17" w14:textId="77777777" w:rsidTr="00853B79">
        <w:trPr>
          <w:trHeight w:val="330"/>
        </w:trPr>
        <w:tc>
          <w:tcPr>
            <w:tcW w:w="3386" w:type="dxa"/>
            <w:shd w:val="clear" w:color="auto" w:fill="FCFCFC"/>
            <w:tcMar>
              <w:top w:w="0" w:type="dxa"/>
              <w:left w:w="108" w:type="dxa"/>
              <w:bottom w:w="0" w:type="dxa"/>
              <w:right w:w="108" w:type="dxa"/>
            </w:tcMar>
            <w:hideMark/>
          </w:tcPr>
          <w:p w14:paraId="1C392DBB"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589C204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88EDFE3"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57306138" w14:textId="77777777" w:rsidTr="00853B79">
        <w:trPr>
          <w:trHeight w:val="315"/>
        </w:trPr>
        <w:tc>
          <w:tcPr>
            <w:tcW w:w="3386" w:type="dxa"/>
            <w:shd w:val="clear" w:color="auto" w:fill="FCFCFC"/>
            <w:tcMar>
              <w:top w:w="0" w:type="dxa"/>
              <w:left w:w="108" w:type="dxa"/>
              <w:bottom w:w="0" w:type="dxa"/>
              <w:right w:w="108" w:type="dxa"/>
            </w:tcMar>
            <w:hideMark/>
          </w:tcPr>
          <w:p w14:paraId="7A4C954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6708F86D"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5E2F49D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Олег БУЛУЛУКОВ</w:t>
            </w:r>
          </w:p>
        </w:tc>
      </w:tr>
      <w:tr w:rsidR="00853B79" w:rsidRPr="00853B79" w14:paraId="527FB4B3" w14:textId="77777777" w:rsidTr="00853B79">
        <w:trPr>
          <w:trHeight w:val="330"/>
        </w:trPr>
        <w:tc>
          <w:tcPr>
            <w:tcW w:w="3386" w:type="dxa"/>
            <w:shd w:val="clear" w:color="auto" w:fill="FCFCFC"/>
            <w:tcMar>
              <w:top w:w="0" w:type="dxa"/>
              <w:left w:w="108" w:type="dxa"/>
              <w:bottom w:w="0" w:type="dxa"/>
              <w:right w:w="108" w:type="dxa"/>
            </w:tcMar>
            <w:hideMark/>
          </w:tcPr>
          <w:p w14:paraId="760E904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27C32747"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04C69CF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4EE84593" w14:textId="77777777" w:rsidTr="00853B79">
        <w:trPr>
          <w:trHeight w:val="315"/>
        </w:trPr>
        <w:tc>
          <w:tcPr>
            <w:tcW w:w="3386" w:type="dxa"/>
            <w:shd w:val="clear" w:color="auto" w:fill="FCFCFC"/>
            <w:tcMar>
              <w:top w:w="0" w:type="dxa"/>
              <w:left w:w="108" w:type="dxa"/>
              <w:bottom w:w="0" w:type="dxa"/>
              <w:right w:w="108" w:type="dxa"/>
            </w:tcMar>
            <w:hideMark/>
          </w:tcPr>
          <w:p w14:paraId="0844072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34D2372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F99EB64"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6E5CE204" w14:textId="77777777" w:rsidTr="00853B79">
        <w:trPr>
          <w:trHeight w:val="330"/>
        </w:trPr>
        <w:tc>
          <w:tcPr>
            <w:tcW w:w="3386" w:type="dxa"/>
            <w:shd w:val="clear" w:color="auto" w:fill="FCFCFC"/>
            <w:tcMar>
              <w:top w:w="0" w:type="dxa"/>
              <w:left w:w="108" w:type="dxa"/>
              <w:bottom w:w="0" w:type="dxa"/>
              <w:right w:w="108" w:type="dxa"/>
            </w:tcMar>
            <w:hideMark/>
          </w:tcPr>
          <w:p w14:paraId="3FC2081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11BE606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4F864DA0"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Ніна ГАРБУЗА</w:t>
            </w:r>
          </w:p>
        </w:tc>
      </w:tr>
      <w:tr w:rsidR="00853B79" w:rsidRPr="00853B79" w14:paraId="07C4B5CE" w14:textId="77777777" w:rsidTr="00853B79">
        <w:trPr>
          <w:trHeight w:val="315"/>
        </w:trPr>
        <w:tc>
          <w:tcPr>
            <w:tcW w:w="3386" w:type="dxa"/>
            <w:shd w:val="clear" w:color="auto" w:fill="FCFCFC"/>
            <w:tcMar>
              <w:top w:w="0" w:type="dxa"/>
              <w:left w:w="108" w:type="dxa"/>
              <w:bottom w:w="0" w:type="dxa"/>
              <w:right w:w="108" w:type="dxa"/>
            </w:tcMar>
            <w:hideMark/>
          </w:tcPr>
          <w:p w14:paraId="7C57AD0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4A971129"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207A1D59"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4FAA5404" w14:textId="77777777" w:rsidTr="00853B79">
        <w:trPr>
          <w:trHeight w:val="330"/>
        </w:trPr>
        <w:tc>
          <w:tcPr>
            <w:tcW w:w="3386" w:type="dxa"/>
            <w:shd w:val="clear" w:color="auto" w:fill="FCFCFC"/>
            <w:tcMar>
              <w:top w:w="0" w:type="dxa"/>
              <w:left w:w="108" w:type="dxa"/>
              <w:bottom w:w="0" w:type="dxa"/>
              <w:right w:w="108" w:type="dxa"/>
            </w:tcMar>
            <w:hideMark/>
          </w:tcPr>
          <w:p w14:paraId="207F447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4D72CF57"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48892056"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38F7F432" w14:textId="77777777" w:rsidTr="00853B79">
        <w:trPr>
          <w:trHeight w:val="315"/>
        </w:trPr>
        <w:tc>
          <w:tcPr>
            <w:tcW w:w="3386" w:type="dxa"/>
            <w:shd w:val="clear" w:color="auto" w:fill="FCFCFC"/>
            <w:tcMar>
              <w:top w:w="0" w:type="dxa"/>
              <w:left w:w="108" w:type="dxa"/>
              <w:bottom w:w="0" w:type="dxa"/>
              <w:right w:w="108" w:type="dxa"/>
            </w:tcMar>
            <w:hideMark/>
          </w:tcPr>
          <w:p w14:paraId="5465EFF3"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65B31697"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22768C7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Катерина КОВАЛЬ</w:t>
            </w:r>
          </w:p>
        </w:tc>
      </w:tr>
      <w:tr w:rsidR="00853B79" w:rsidRPr="00853B79" w14:paraId="2A1D6919" w14:textId="77777777" w:rsidTr="00853B79">
        <w:trPr>
          <w:trHeight w:val="330"/>
        </w:trPr>
        <w:tc>
          <w:tcPr>
            <w:tcW w:w="3386" w:type="dxa"/>
            <w:shd w:val="clear" w:color="auto" w:fill="FCFCFC"/>
            <w:tcMar>
              <w:top w:w="0" w:type="dxa"/>
              <w:left w:w="108" w:type="dxa"/>
              <w:bottom w:w="0" w:type="dxa"/>
              <w:right w:w="108" w:type="dxa"/>
            </w:tcMar>
            <w:hideMark/>
          </w:tcPr>
          <w:p w14:paraId="1B5FEDC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4A315C9B"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62BA8F6E"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2B71D11A" w14:textId="77777777" w:rsidTr="00853B79">
        <w:trPr>
          <w:trHeight w:val="315"/>
        </w:trPr>
        <w:tc>
          <w:tcPr>
            <w:tcW w:w="3386" w:type="dxa"/>
            <w:shd w:val="clear" w:color="auto" w:fill="FCFCFC"/>
            <w:tcMar>
              <w:top w:w="0" w:type="dxa"/>
              <w:left w:w="108" w:type="dxa"/>
              <w:bottom w:w="0" w:type="dxa"/>
              <w:right w:w="108" w:type="dxa"/>
            </w:tcMar>
            <w:hideMark/>
          </w:tcPr>
          <w:p w14:paraId="45559A68"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001155B6"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3411D6F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1ECF6D32" w14:textId="77777777" w:rsidTr="00853B79">
        <w:trPr>
          <w:trHeight w:val="315"/>
        </w:trPr>
        <w:tc>
          <w:tcPr>
            <w:tcW w:w="3386" w:type="dxa"/>
            <w:shd w:val="clear" w:color="auto" w:fill="FCFCFC"/>
            <w:tcMar>
              <w:top w:w="0" w:type="dxa"/>
              <w:left w:w="108" w:type="dxa"/>
              <w:bottom w:w="0" w:type="dxa"/>
              <w:right w:w="108" w:type="dxa"/>
            </w:tcMar>
            <w:hideMark/>
          </w:tcPr>
          <w:p w14:paraId="486F991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7C515F4C"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58C1D32E"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Дмитро КУРИЛЕНКО</w:t>
            </w:r>
          </w:p>
        </w:tc>
      </w:tr>
      <w:tr w:rsidR="00853B79" w:rsidRPr="00853B79" w14:paraId="0DB7C174" w14:textId="77777777" w:rsidTr="00853B79">
        <w:trPr>
          <w:trHeight w:val="330"/>
        </w:trPr>
        <w:tc>
          <w:tcPr>
            <w:tcW w:w="3386" w:type="dxa"/>
            <w:shd w:val="clear" w:color="auto" w:fill="FCFCFC"/>
            <w:tcMar>
              <w:top w:w="0" w:type="dxa"/>
              <w:left w:w="108" w:type="dxa"/>
              <w:bottom w:w="0" w:type="dxa"/>
              <w:right w:w="108" w:type="dxa"/>
            </w:tcMar>
            <w:hideMark/>
          </w:tcPr>
          <w:p w14:paraId="169CD6B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19E5926E"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172F540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6231297A" w14:textId="77777777" w:rsidTr="00853B79">
        <w:trPr>
          <w:trHeight w:val="315"/>
        </w:trPr>
        <w:tc>
          <w:tcPr>
            <w:tcW w:w="3386" w:type="dxa"/>
            <w:shd w:val="clear" w:color="auto" w:fill="FCFCFC"/>
            <w:tcMar>
              <w:top w:w="0" w:type="dxa"/>
              <w:left w:w="108" w:type="dxa"/>
              <w:bottom w:w="0" w:type="dxa"/>
              <w:right w:w="108" w:type="dxa"/>
            </w:tcMar>
            <w:hideMark/>
          </w:tcPr>
          <w:p w14:paraId="5D852CF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591C12C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2508EB2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3FE46D22" w14:textId="77777777" w:rsidTr="00853B79">
        <w:trPr>
          <w:trHeight w:val="330"/>
        </w:trPr>
        <w:tc>
          <w:tcPr>
            <w:tcW w:w="3386" w:type="dxa"/>
            <w:shd w:val="clear" w:color="auto" w:fill="FCFCFC"/>
            <w:tcMar>
              <w:top w:w="0" w:type="dxa"/>
              <w:left w:w="108" w:type="dxa"/>
              <w:bottom w:w="0" w:type="dxa"/>
              <w:right w:w="108" w:type="dxa"/>
            </w:tcMar>
            <w:hideMark/>
          </w:tcPr>
          <w:p w14:paraId="13111B0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12463F4C"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2BF70E18"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Віталій МАВРОДІ</w:t>
            </w:r>
          </w:p>
        </w:tc>
      </w:tr>
      <w:tr w:rsidR="00853B79" w:rsidRPr="00853B79" w14:paraId="04456B65" w14:textId="77777777" w:rsidTr="00853B79">
        <w:trPr>
          <w:trHeight w:val="315"/>
        </w:trPr>
        <w:tc>
          <w:tcPr>
            <w:tcW w:w="3386" w:type="dxa"/>
            <w:shd w:val="clear" w:color="auto" w:fill="FCFCFC"/>
            <w:tcMar>
              <w:top w:w="0" w:type="dxa"/>
              <w:left w:w="108" w:type="dxa"/>
              <w:bottom w:w="0" w:type="dxa"/>
              <w:right w:w="108" w:type="dxa"/>
            </w:tcMar>
            <w:hideMark/>
          </w:tcPr>
          <w:p w14:paraId="393B96F4"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3E1AF42B"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2B15F42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65E6A439" w14:textId="77777777" w:rsidTr="00853B79">
        <w:trPr>
          <w:trHeight w:val="330"/>
        </w:trPr>
        <w:tc>
          <w:tcPr>
            <w:tcW w:w="3386" w:type="dxa"/>
            <w:shd w:val="clear" w:color="auto" w:fill="FCFCFC"/>
            <w:tcMar>
              <w:top w:w="0" w:type="dxa"/>
              <w:left w:w="108" w:type="dxa"/>
              <w:bottom w:w="0" w:type="dxa"/>
              <w:right w:w="108" w:type="dxa"/>
            </w:tcMar>
            <w:hideMark/>
          </w:tcPr>
          <w:p w14:paraId="7635BDA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06B8D5A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BEA485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08AA868F" w14:textId="77777777" w:rsidTr="00853B79">
        <w:trPr>
          <w:trHeight w:val="315"/>
        </w:trPr>
        <w:tc>
          <w:tcPr>
            <w:tcW w:w="3386" w:type="dxa"/>
            <w:shd w:val="clear" w:color="auto" w:fill="FCFCFC"/>
            <w:tcMar>
              <w:top w:w="0" w:type="dxa"/>
              <w:left w:w="108" w:type="dxa"/>
              <w:bottom w:w="0" w:type="dxa"/>
              <w:right w:w="108" w:type="dxa"/>
            </w:tcMar>
            <w:hideMark/>
          </w:tcPr>
          <w:p w14:paraId="5C36FE8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44CFDA2F"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4F2260C"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Олексій МІХЕД</w:t>
            </w:r>
          </w:p>
        </w:tc>
      </w:tr>
      <w:tr w:rsidR="00853B79" w:rsidRPr="00853B79" w14:paraId="080BCEBE" w14:textId="77777777" w:rsidTr="00853B79">
        <w:trPr>
          <w:trHeight w:val="330"/>
        </w:trPr>
        <w:tc>
          <w:tcPr>
            <w:tcW w:w="3386" w:type="dxa"/>
            <w:shd w:val="clear" w:color="auto" w:fill="FCFCFC"/>
            <w:tcMar>
              <w:top w:w="0" w:type="dxa"/>
              <w:left w:w="108" w:type="dxa"/>
              <w:bottom w:w="0" w:type="dxa"/>
              <w:right w:w="108" w:type="dxa"/>
            </w:tcMar>
            <w:hideMark/>
          </w:tcPr>
          <w:p w14:paraId="10F8DA84"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35E3C72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7E5B1A45"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16EBCCF8" w14:textId="77777777" w:rsidTr="00853B79">
        <w:trPr>
          <w:trHeight w:val="315"/>
        </w:trPr>
        <w:tc>
          <w:tcPr>
            <w:tcW w:w="3386" w:type="dxa"/>
            <w:shd w:val="clear" w:color="auto" w:fill="FCFCFC"/>
            <w:tcMar>
              <w:top w:w="0" w:type="dxa"/>
              <w:left w:w="108" w:type="dxa"/>
              <w:bottom w:w="0" w:type="dxa"/>
              <w:right w:w="108" w:type="dxa"/>
            </w:tcMar>
            <w:hideMark/>
          </w:tcPr>
          <w:p w14:paraId="4807044C"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503CB711"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4447F0C0"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35C6D7CD" w14:textId="77777777" w:rsidTr="00853B79">
        <w:trPr>
          <w:trHeight w:val="330"/>
        </w:trPr>
        <w:tc>
          <w:tcPr>
            <w:tcW w:w="3386" w:type="dxa"/>
            <w:shd w:val="clear" w:color="auto" w:fill="FCFCFC"/>
            <w:tcMar>
              <w:top w:w="0" w:type="dxa"/>
              <w:left w:w="108" w:type="dxa"/>
              <w:bottom w:w="0" w:type="dxa"/>
              <w:right w:w="108" w:type="dxa"/>
            </w:tcMar>
            <w:hideMark/>
          </w:tcPr>
          <w:p w14:paraId="6F230A0D"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2E458B43"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3CFC4A9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Євгенія МНИШЕНКО</w:t>
            </w:r>
          </w:p>
        </w:tc>
      </w:tr>
      <w:tr w:rsidR="00853B79" w:rsidRPr="00853B79" w14:paraId="0017D548" w14:textId="77777777" w:rsidTr="00853B79">
        <w:trPr>
          <w:trHeight w:val="315"/>
        </w:trPr>
        <w:tc>
          <w:tcPr>
            <w:tcW w:w="3386" w:type="dxa"/>
            <w:shd w:val="clear" w:color="auto" w:fill="FCFCFC"/>
            <w:tcMar>
              <w:top w:w="0" w:type="dxa"/>
              <w:left w:w="108" w:type="dxa"/>
              <w:bottom w:w="0" w:type="dxa"/>
              <w:right w:w="108" w:type="dxa"/>
            </w:tcMar>
            <w:hideMark/>
          </w:tcPr>
          <w:p w14:paraId="2851B5DB"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61BA58FD"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44F4D839"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44253EAA" w14:textId="77777777" w:rsidTr="00853B79">
        <w:trPr>
          <w:trHeight w:val="330"/>
        </w:trPr>
        <w:tc>
          <w:tcPr>
            <w:tcW w:w="3386" w:type="dxa"/>
            <w:shd w:val="clear" w:color="auto" w:fill="FCFCFC"/>
            <w:tcMar>
              <w:top w:w="0" w:type="dxa"/>
              <w:left w:w="108" w:type="dxa"/>
              <w:bottom w:w="0" w:type="dxa"/>
              <w:right w:w="108" w:type="dxa"/>
            </w:tcMar>
            <w:hideMark/>
          </w:tcPr>
          <w:p w14:paraId="2D5DE514"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0629F368"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126B944E"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r>
      <w:tr w:rsidR="00853B79" w:rsidRPr="00853B79" w14:paraId="7D4F1720" w14:textId="77777777" w:rsidTr="00853B79">
        <w:trPr>
          <w:trHeight w:val="315"/>
        </w:trPr>
        <w:tc>
          <w:tcPr>
            <w:tcW w:w="3386" w:type="dxa"/>
            <w:shd w:val="clear" w:color="auto" w:fill="FCFCFC"/>
            <w:tcMar>
              <w:top w:w="0" w:type="dxa"/>
              <w:left w:w="108" w:type="dxa"/>
              <w:bottom w:w="0" w:type="dxa"/>
              <w:right w:w="108" w:type="dxa"/>
            </w:tcMar>
            <w:hideMark/>
          </w:tcPr>
          <w:p w14:paraId="63E1E0CA"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2872" w:type="dxa"/>
            <w:shd w:val="clear" w:color="auto" w:fill="FCFCFC"/>
            <w:tcMar>
              <w:top w:w="0" w:type="dxa"/>
              <w:left w:w="108" w:type="dxa"/>
              <w:bottom w:w="0" w:type="dxa"/>
              <w:right w:w="108" w:type="dxa"/>
            </w:tcMar>
            <w:hideMark/>
          </w:tcPr>
          <w:p w14:paraId="6B7987D6"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 </w:t>
            </w:r>
          </w:p>
        </w:tc>
        <w:tc>
          <w:tcPr>
            <w:tcW w:w="3568" w:type="dxa"/>
            <w:shd w:val="clear" w:color="auto" w:fill="FCFCFC"/>
            <w:tcMar>
              <w:top w:w="0" w:type="dxa"/>
              <w:left w:w="108" w:type="dxa"/>
              <w:bottom w:w="0" w:type="dxa"/>
              <w:right w:w="108" w:type="dxa"/>
            </w:tcMar>
            <w:hideMark/>
          </w:tcPr>
          <w:p w14:paraId="305D1082" w14:textId="77777777" w:rsidR="00853B79" w:rsidRPr="00853B79" w:rsidRDefault="00853B79" w:rsidP="00853B79">
            <w:pPr>
              <w:spacing w:beforeAutospacing="1" w:afterAutospacing="1"/>
              <w:jc w:val="left"/>
              <w:rPr>
                <w:rFonts w:ascii="Arial" w:hAnsi="Arial" w:cs="Arial"/>
                <w:color w:val="363636"/>
                <w:sz w:val="24"/>
              </w:rPr>
            </w:pPr>
            <w:r w:rsidRPr="00853B79">
              <w:rPr>
                <w:rFonts w:ascii="Arial" w:hAnsi="Arial" w:cs="Arial"/>
                <w:color w:val="363636"/>
                <w:sz w:val="24"/>
              </w:rPr>
              <w:t>Тетяна СТЕПАНОВА</w:t>
            </w:r>
          </w:p>
        </w:tc>
      </w:tr>
    </w:tbl>
    <w:p w14:paraId="2ECC33F9" w14:textId="77777777" w:rsidR="00774F2A" w:rsidRPr="00853B79" w:rsidRDefault="00774F2A" w:rsidP="00853B79">
      <w:bookmarkStart w:id="2" w:name="_GoBack"/>
      <w:bookmarkEnd w:id="2"/>
    </w:p>
    <w:sectPr w:rsidR="00774F2A" w:rsidRPr="00853B79"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CE80D" w14:textId="77777777" w:rsidR="006D44CD" w:rsidRDefault="006D44CD">
      <w:r>
        <w:separator/>
      </w:r>
    </w:p>
  </w:endnote>
  <w:endnote w:type="continuationSeparator" w:id="0">
    <w:p w14:paraId="377551E0" w14:textId="77777777" w:rsidR="006D44CD" w:rsidRDefault="006D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7A1E4" w14:textId="77777777" w:rsidR="006D44CD" w:rsidRDefault="006D44CD">
      <w:r>
        <w:separator/>
      </w:r>
    </w:p>
  </w:footnote>
  <w:footnote w:type="continuationSeparator" w:id="0">
    <w:p w14:paraId="64C085AF" w14:textId="77777777" w:rsidR="006D44CD" w:rsidRDefault="006D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39B3685A" w:rsidR="006F7BD1" w:rsidRDefault="00764E53">
        <w:pPr>
          <w:pStyle w:val="a3"/>
          <w:jc w:val="center"/>
        </w:pPr>
        <w:r>
          <w:fldChar w:fldCharType="begin"/>
        </w:r>
        <w:r>
          <w:instrText>PAGE   \* MERGEFORMAT</w:instrText>
        </w:r>
        <w:r>
          <w:fldChar w:fldCharType="separate"/>
        </w:r>
        <w:r w:rsidR="00853B79">
          <w:rPr>
            <w:noProof/>
          </w:rPr>
          <w:t>9</w:t>
        </w:r>
        <w:r>
          <w:fldChar w:fldCharType="end"/>
        </w:r>
      </w:p>
    </w:sdtContent>
  </w:sdt>
  <w:p w14:paraId="1B8B1764" w14:textId="77777777" w:rsidR="006F7BD1" w:rsidRDefault="006D44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6D44CD"/>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53B79"/>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853B79"/>
    <w:rPr>
      <w:b/>
      <w:bCs/>
    </w:rPr>
  </w:style>
  <w:style w:type="paragraph" w:styleId="a9">
    <w:name w:val="Normal (Web)"/>
    <w:basedOn w:val="a"/>
    <w:uiPriority w:val="99"/>
    <w:semiHidden/>
    <w:unhideWhenUsed/>
    <w:rsid w:val="00853B79"/>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22">
      <w:bodyDiv w:val="1"/>
      <w:marLeft w:val="0"/>
      <w:marRight w:val="0"/>
      <w:marTop w:val="0"/>
      <w:marBottom w:val="0"/>
      <w:divBdr>
        <w:top w:val="none" w:sz="0" w:space="0" w:color="auto"/>
        <w:left w:val="none" w:sz="0" w:space="0" w:color="auto"/>
        <w:bottom w:val="none" w:sz="0" w:space="0" w:color="auto"/>
        <w:right w:val="none" w:sz="0" w:space="0" w:color="auto"/>
      </w:divBdr>
      <w:divsChild>
        <w:div w:id="4523372">
          <w:marLeft w:val="0"/>
          <w:marRight w:val="0"/>
          <w:marTop w:val="0"/>
          <w:marBottom w:val="0"/>
          <w:divBdr>
            <w:top w:val="none" w:sz="0" w:space="0" w:color="auto"/>
            <w:left w:val="none" w:sz="0" w:space="0" w:color="auto"/>
            <w:bottom w:val="none" w:sz="0" w:space="0" w:color="auto"/>
            <w:right w:val="none" w:sz="0" w:space="0" w:color="auto"/>
          </w:divBdr>
        </w:div>
      </w:divsChild>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9</Pages>
  <Words>3187</Words>
  <Characters>18166</Characters>
  <Application>Microsoft Office Word</Application>
  <DocSecurity>0</DocSecurity>
  <Lines>151</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2026-06-30T07:28:00Z</dcterms:modified>
</cp:coreProperties>
</file>